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75" w:rsidRDefault="00042975">
      <w:pPr>
        <w:rPr>
          <w:rFonts w:ascii="Tw Cen MT" w:hAnsi="Tw Cen MT"/>
          <w:sz w:val="24"/>
          <w:szCs w:val="24"/>
        </w:rPr>
      </w:pPr>
      <w:bookmarkStart w:id="0" w:name="_GoBack"/>
      <w:bookmarkEnd w:id="0"/>
    </w:p>
    <w:p w:rsidR="009234E6" w:rsidRPr="00D37E81" w:rsidRDefault="00EE12E9">
      <w:pPr>
        <w:rPr>
          <w:rFonts w:ascii="Tw Cen MT" w:hAnsi="Tw Cen MT"/>
          <w:sz w:val="24"/>
          <w:szCs w:val="24"/>
        </w:rPr>
      </w:pPr>
      <w:r w:rsidRPr="00D37E81">
        <w:rPr>
          <w:rFonts w:ascii="Tw Cen MT" w:hAnsi="Tw Cen MT"/>
          <w:sz w:val="24"/>
          <w:szCs w:val="24"/>
        </w:rPr>
        <w:t>Dear Partners-</w:t>
      </w:r>
    </w:p>
    <w:p w:rsidR="00EE12E9" w:rsidRPr="00D37E81" w:rsidRDefault="00EE12E9" w:rsidP="00EE12E9">
      <w:pPr>
        <w:spacing w:line="216" w:lineRule="auto"/>
        <w:jc w:val="both"/>
        <w:rPr>
          <w:rFonts w:ascii="Tw Cen MT" w:eastAsia="+mn-ea" w:hAnsi="Tw Cen MT" w:cs="+mn-cs"/>
          <w:color w:val="000000"/>
          <w:kern w:val="24"/>
          <w:sz w:val="24"/>
          <w:szCs w:val="24"/>
        </w:rPr>
      </w:pPr>
      <w:r w:rsidRPr="00D37E81">
        <w:rPr>
          <w:rFonts w:ascii="Tw Cen MT" w:eastAsia="+mn-ea" w:hAnsi="Tw Cen MT" w:cs="+mn-cs"/>
          <w:color w:val="FF0000"/>
          <w:kern w:val="24"/>
          <w:sz w:val="24"/>
          <w:szCs w:val="24"/>
        </w:rPr>
        <w:t>SABOR LATINO-</w:t>
      </w:r>
      <w:r w:rsidRPr="00D37E81">
        <w:rPr>
          <w:rFonts w:ascii="Tw Cen MT" w:eastAsia="+mn-ea" w:hAnsi="Tw Cen MT" w:cs="+mn-cs"/>
          <w:i/>
          <w:color w:val="000000"/>
          <w:kern w:val="24"/>
          <w:sz w:val="24"/>
          <w:szCs w:val="24"/>
        </w:rPr>
        <w:t xml:space="preserve">Joint Cruise </w:t>
      </w:r>
      <w:r w:rsidR="0099656E" w:rsidRPr="00D37E81">
        <w:rPr>
          <w:rFonts w:ascii="Tw Cen MT" w:eastAsia="+mn-ea" w:hAnsi="Tw Cen MT" w:cs="+mn-cs"/>
          <w:i/>
          <w:color w:val="000000"/>
          <w:kern w:val="24"/>
          <w:sz w:val="24"/>
          <w:szCs w:val="24"/>
        </w:rPr>
        <w:t xml:space="preserve">Destination </w:t>
      </w:r>
      <w:r w:rsidRPr="00D37E81">
        <w:rPr>
          <w:rFonts w:ascii="Tw Cen MT" w:eastAsia="+mn-ea" w:hAnsi="Tw Cen MT" w:cs="+mn-cs"/>
          <w:i/>
          <w:color w:val="000000"/>
          <w:kern w:val="24"/>
          <w:sz w:val="24"/>
          <w:szCs w:val="24"/>
        </w:rPr>
        <w:t>Alliance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is the </w:t>
      </w:r>
      <w:r w:rsidR="00FF618A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initiative</w:t>
      </w:r>
      <w:r w:rsidR="00575339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of </w:t>
      </w:r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Aruba, 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Colombia, </w:t>
      </w:r>
      <w:proofErr w:type="spellStart"/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Cura</w:t>
      </w:r>
      <w:r w:rsidR="00575339" w:rsidRPr="00D37E81">
        <w:rPr>
          <w:rFonts w:ascii="Tw Cen MT" w:eastAsia="+mn-ea" w:hAnsi="Tw Cen MT" w:cs="+mn-cs"/>
          <w:color w:val="4F6228" w:themeColor="accent3" w:themeShade="80"/>
          <w:kern w:val="24"/>
          <w:sz w:val="24"/>
          <w:szCs w:val="24"/>
        </w:rPr>
        <w:t>ç</w:t>
      </w:r>
      <w:r w:rsidR="00A31280">
        <w:rPr>
          <w:rFonts w:ascii="Tw Cen MT" w:eastAsia="+mn-ea" w:hAnsi="Tw Cen MT" w:cs="+mn-cs"/>
          <w:color w:val="000000"/>
          <w:kern w:val="24"/>
          <w:sz w:val="24"/>
          <w:szCs w:val="24"/>
        </w:rPr>
        <w:t>ao</w:t>
      </w:r>
      <w:proofErr w:type="spellEnd"/>
      <w:r w:rsidR="00A31280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, and </w:t>
      </w:r>
      <w:r w:rsidR="00FD5E97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Santo Domingo</w:t>
      </w:r>
      <w:r w:rsidR="0099656E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to present a unique cruise itinerary </w:t>
      </w:r>
      <w:r w:rsidR="00042975">
        <w:rPr>
          <w:rFonts w:ascii="Tw Cen MT" w:eastAsia="+mn-ea" w:hAnsi="Tw Cen MT" w:cs="+mn-cs"/>
          <w:color w:val="000000"/>
          <w:kern w:val="24"/>
          <w:sz w:val="24"/>
          <w:szCs w:val="24"/>
        </w:rPr>
        <w:t>focused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on market segments that have an affinity towards Latin influences. </w:t>
      </w:r>
    </w:p>
    <w:p w:rsidR="0092155B" w:rsidRPr="00042975" w:rsidRDefault="00D1401F" w:rsidP="00B85FB5">
      <w:pPr>
        <w:spacing w:line="216" w:lineRule="auto"/>
        <w:jc w:val="both"/>
        <w:rPr>
          <w:rFonts w:ascii="Tw Cen MT" w:eastAsia="Times New Roman" w:hAnsi="Tw Cen MT" w:cs="Times New Roman"/>
          <w:color w:val="000000" w:themeColor="text1"/>
          <w:sz w:val="24"/>
          <w:szCs w:val="24"/>
        </w:rPr>
      </w:pP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This destination and port promotion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cooperation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between </w:t>
      </w:r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Aruba, Colombia, </w:t>
      </w:r>
      <w:proofErr w:type="spellStart"/>
      <w:r w:rsidR="00575339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Curaç</w:t>
      </w:r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ao</w:t>
      </w:r>
      <w:proofErr w:type="spellEnd"/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, and </w:t>
      </w:r>
      <w:r w:rsidR="00FD5E97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Santo Domingo</w:t>
      </w:r>
      <w:r w:rsidR="00C8505B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focuses on the Southern 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Caribbean ports of </w:t>
      </w:r>
      <w:r w:rsidR="0057533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Cartagena, </w:t>
      </w:r>
      <w:proofErr w:type="spellStart"/>
      <w:r w:rsidR="00FF618A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Oranjestad</w:t>
      </w:r>
      <w:proofErr w:type="spellEnd"/>
      <w:r w:rsidR="00FF618A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, </w:t>
      </w:r>
      <w:r w:rsidR="0099656E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Santo Domingo</w:t>
      </w:r>
      <w:r w:rsidR="00FF618A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, and</w:t>
      </w:r>
      <w:r w:rsidR="0057533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Willemstad</w:t>
      </w:r>
      <w:r w:rsidR="00EE12E9" w:rsidRPr="00D37E81">
        <w:rPr>
          <w:rFonts w:ascii="Tw Cen MT" w:eastAsia="Times New Roman" w:hAnsi="Tw Cen MT" w:cs="Times New Roman"/>
          <w:color w:val="31849B" w:themeColor="accent5" w:themeShade="BF"/>
          <w:sz w:val="24"/>
          <w:szCs w:val="24"/>
        </w:rPr>
        <w:t xml:space="preserve">. 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These destinations are unique for their Latin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zest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,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cultural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diversity,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ethnic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heritage, historic architecture,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harmonious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rhythms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, arts and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handiworks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,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brand 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shopping experience, culinary </w:t>
      </w:r>
      <w:r w:rsidR="00C8505B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pleasures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,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natural Caribbean delights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, and </w:t>
      </w:r>
      <w:r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>unsurpassed</w:t>
      </w:r>
      <w:r w:rsidR="00EE12E9" w:rsidRPr="00D37E81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hospitality.</w:t>
      </w:r>
      <w:r w:rsidR="00042975">
        <w:rPr>
          <w:rFonts w:ascii="Tw Cen MT" w:eastAsia="Times New Roman" w:hAnsi="Tw Cen MT" w:cs="Times New Roman"/>
          <w:color w:val="000000" w:themeColor="text1"/>
          <w:sz w:val="24"/>
          <w:szCs w:val="24"/>
        </w:rPr>
        <w:t xml:space="preserve"> 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Tailor-made proposals </w:t>
      </w:r>
      <w:r w:rsidR="00575339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will be available upon request. </w:t>
      </w:r>
    </w:p>
    <w:p w:rsidR="00C8505B" w:rsidRPr="00D37E81" w:rsidRDefault="00621064" w:rsidP="00B85FB5">
      <w:pPr>
        <w:spacing w:line="216" w:lineRule="auto"/>
        <w:jc w:val="both"/>
        <w:rPr>
          <w:rFonts w:ascii="Tw Cen MT" w:eastAsia="+mn-ea" w:hAnsi="Tw Cen MT" w:cs="+mn-cs"/>
          <w:color w:val="000000"/>
          <w:kern w:val="24"/>
          <w:sz w:val="24"/>
          <w:szCs w:val="24"/>
        </w:rPr>
      </w:pP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The</w:t>
      </w:r>
      <w:r w:rsidRPr="00D37E81">
        <w:rPr>
          <w:rFonts w:ascii="Tw Cen MT" w:eastAsia="+mn-ea" w:hAnsi="Tw Cen MT" w:cs="+mn-cs"/>
          <w:color w:val="FF0000"/>
          <w:kern w:val="24"/>
          <w:sz w:val="24"/>
          <w:szCs w:val="24"/>
        </w:rPr>
        <w:t xml:space="preserve"> SABOR LATINO-</w:t>
      </w:r>
      <w:r w:rsidRPr="00D37E81">
        <w:rPr>
          <w:rFonts w:ascii="Tw Cen MT" w:eastAsia="+mn-ea" w:hAnsi="Tw Cen MT" w:cs="+mn-cs"/>
          <w:i/>
          <w:color w:val="000000"/>
          <w:kern w:val="24"/>
          <w:sz w:val="24"/>
          <w:szCs w:val="24"/>
        </w:rPr>
        <w:t xml:space="preserve">Joint Cruise </w:t>
      </w:r>
      <w:r w:rsidR="0099656E" w:rsidRPr="00D37E81">
        <w:rPr>
          <w:rFonts w:ascii="Tw Cen MT" w:eastAsia="+mn-ea" w:hAnsi="Tw Cen MT" w:cs="+mn-cs"/>
          <w:i/>
          <w:color w:val="000000"/>
          <w:kern w:val="24"/>
          <w:sz w:val="24"/>
          <w:szCs w:val="24"/>
        </w:rPr>
        <w:t xml:space="preserve">Destination </w:t>
      </w:r>
      <w:r w:rsidRPr="00D37E81">
        <w:rPr>
          <w:rFonts w:ascii="Tw Cen MT" w:eastAsia="+mn-ea" w:hAnsi="Tw Cen MT" w:cs="+mn-cs"/>
          <w:i/>
          <w:color w:val="000000"/>
          <w:kern w:val="24"/>
          <w:sz w:val="24"/>
          <w:szCs w:val="24"/>
        </w:rPr>
        <w:t>Alliance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partners, </w:t>
      </w:r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Aruba, Colombia, </w:t>
      </w:r>
      <w:proofErr w:type="spellStart"/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Cura</w:t>
      </w:r>
      <w:r w:rsidR="00FF618A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ç</w:t>
      </w:r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ao</w:t>
      </w:r>
      <w:proofErr w:type="spellEnd"/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, </w:t>
      </w:r>
      <w:r w:rsidR="00042975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and Santo</w:t>
      </w:r>
      <w:r w:rsidR="00A31280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</w:t>
      </w:r>
      <w:r w:rsidR="00FD5E97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Domingo</w:t>
      </w:r>
      <w:r w:rsidR="00C8505B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are at your dispos</w:t>
      </w:r>
      <w:r w:rsidR="0099656E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ition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to create a</w:t>
      </w:r>
      <w:r w:rsidR="003221D2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 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 xml:space="preserve">unique and diverse itinerary linked to an incentive package and promotional agreement based on your distinctive </w:t>
      </w:r>
      <w:r w:rsidR="0099656E"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segments strategies</w:t>
      </w:r>
      <w:r w:rsidRPr="00D37E81">
        <w:rPr>
          <w:rFonts w:ascii="Tw Cen MT" w:eastAsia="+mn-ea" w:hAnsi="Tw Cen MT" w:cs="+mn-cs"/>
          <w:color w:val="000000"/>
          <w:kern w:val="24"/>
          <w:sz w:val="24"/>
          <w:szCs w:val="24"/>
        </w:rPr>
        <w:t>.</w:t>
      </w:r>
    </w:p>
    <w:p w:rsidR="00621064" w:rsidRPr="00D37E81" w:rsidRDefault="00621064" w:rsidP="00C8505B">
      <w:pPr>
        <w:pStyle w:val="NormalWeb"/>
        <w:spacing w:before="0" w:beforeAutospacing="0" w:after="0" w:afterAutospacing="0" w:line="276" w:lineRule="auto"/>
      </w:pPr>
      <w:r w:rsidRPr="00D37E81">
        <w:rPr>
          <w:rFonts w:ascii="Tw Cen MT" w:eastAsia="+mn-ea" w:hAnsi="Tw Cen MT" w:cs="+mn-cs"/>
          <w:color w:val="000000"/>
          <w:kern w:val="24"/>
        </w:rPr>
        <w:t xml:space="preserve">The </w:t>
      </w:r>
      <w:r w:rsidRPr="00D37E81">
        <w:rPr>
          <w:rFonts w:ascii="Tw Cen MT" w:eastAsia="+mn-ea" w:hAnsi="Tw Cen MT" w:cs="+mn-cs"/>
          <w:color w:val="FF0000"/>
          <w:kern w:val="24"/>
        </w:rPr>
        <w:t>SABOR LATINO-</w:t>
      </w:r>
      <w:r w:rsidRPr="00D37E81">
        <w:rPr>
          <w:rFonts w:ascii="Tw Cen MT" w:eastAsia="+mn-ea" w:hAnsi="Tw Cen MT" w:cs="+mn-cs"/>
          <w:i/>
          <w:color w:val="000000"/>
          <w:kern w:val="24"/>
        </w:rPr>
        <w:t xml:space="preserve">Joint Cruise </w:t>
      </w:r>
      <w:r w:rsidR="0099656E" w:rsidRPr="00D37E81">
        <w:rPr>
          <w:rFonts w:ascii="Tw Cen MT" w:eastAsia="+mn-ea" w:hAnsi="Tw Cen MT" w:cs="+mn-cs"/>
          <w:i/>
          <w:color w:val="000000"/>
          <w:kern w:val="24"/>
        </w:rPr>
        <w:t xml:space="preserve">Destination </w:t>
      </w:r>
      <w:r w:rsidRPr="00D37E81">
        <w:rPr>
          <w:rFonts w:ascii="Tw Cen MT" w:eastAsia="+mn-ea" w:hAnsi="Tw Cen MT" w:cs="+mn-cs"/>
          <w:i/>
          <w:color w:val="000000"/>
          <w:kern w:val="24"/>
        </w:rPr>
        <w:t>Alliance</w:t>
      </w:r>
      <w:r w:rsidRPr="00D37E81">
        <w:rPr>
          <w:rFonts w:ascii="Tw Cen MT" w:eastAsia="+mn-ea" w:hAnsi="Tw Cen MT" w:cs="+mn-cs"/>
          <w:color w:val="000000"/>
          <w:kern w:val="24"/>
        </w:rPr>
        <w:t xml:space="preserve"> is a proactive approach </w:t>
      </w:r>
      <w:r w:rsidR="00C8505B" w:rsidRPr="00D37E81">
        <w:rPr>
          <w:rFonts w:ascii="Tw Cen MT" w:eastAsia="+mn-ea" w:hAnsi="Tw Cen MT" w:cs="+mn-cs"/>
          <w:color w:val="000000"/>
          <w:kern w:val="24"/>
        </w:rPr>
        <w:t xml:space="preserve">to </w:t>
      </w:r>
      <w:r w:rsidRPr="00D37E81">
        <w:rPr>
          <w:rFonts w:ascii="Tw Cen MT" w:eastAsia="+mn-ea" w:hAnsi="Tw Cen MT" w:cs="+mn-cs"/>
          <w:color w:val="000000"/>
          <w:kern w:val="24"/>
        </w:rPr>
        <w:t xml:space="preserve">the cruise industry. The allied destinations will be actively involved </w:t>
      </w:r>
      <w:r w:rsidR="00B85FB5" w:rsidRPr="00D37E81">
        <w:rPr>
          <w:rFonts w:ascii="Tw Cen MT" w:eastAsia="+mn-ea" w:hAnsi="Tw Cen MT" w:cs="+mn-cs"/>
          <w:color w:val="000000"/>
          <w:kern w:val="24"/>
        </w:rPr>
        <w:t xml:space="preserve">from planning to implementation. </w:t>
      </w:r>
      <w:r w:rsidRPr="00D37E81">
        <w:rPr>
          <w:rFonts w:ascii="Tw Cen MT" w:eastAsia="+mn-ea" w:hAnsi="Tw Cen MT" w:cs="+mn-cs"/>
          <w:color w:val="000000"/>
          <w:kern w:val="24"/>
        </w:rPr>
        <w:t xml:space="preserve"> </w:t>
      </w:r>
      <w:r w:rsidR="00B85FB5" w:rsidRPr="00D37E81">
        <w:rPr>
          <w:rFonts w:ascii="Tw Cen MT" w:eastAsia="+mn-ea" w:hAnsi="Tw Cen MT" w:cs="+mn-cs"/>
          <w:color w:val="000000"/>
          <w:kern w:val="24"/>
        </w:rPr>
        <w:t>The list of contacts includes:</w:t>
      </w:r>
    </w:p>
    <w:p w:rsidR="0060787F" w:rsidRPr="00D37E81" w:rsidRDefault="0060787F" w:rsidP="0060787F">
      <w:pPr>
        <w:spacing w:after="40" w:line="216" w:lineRule="auto"/>
        <w:contextualSpacing/>
        <w:jc w:val="both"/>
        <w:rPr>
          <w:rFonts w:ascii="Tw Cen MT" w:eastAsia="Calibri" w:hAnsi="Tw Cen MT" w:cs="Times New Roman"/>
          <w:b/>
          <w:bCs/>
          <w:color w:val="000000"/>
          <w:sz w:val="24"/>
          <w:szCs w:val="24"/>
        </w:rPr>
      </w:pPr>
    </w:p>
    <w:p w:rsidR="00C8505B" w:rsidRPr="00D37E81" w:rsidRDefault="00C8505B" w:rsidP="00C8505B">
      <w:pPr>
        <w:spacing w:after="40" w:line="216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r w:rsidRPr="00D37E81">
        <w:rPr>
          <w:rFonts w:ascii="Tw Cen MT" w:eastAsia="+mn-ea" w:hAnsi="Tw Cen MT" w:cs="+mn-cs"/>
          <w:b/>
          <w:color w:val="000000" w:themeColor="text1"/>
          <w:kern w:val="24"/>
          <w:sz w:val="24"/>
          <w:szCs w:val="24"/>
        </w:rPr>
        <w:t>Aruba</w:t>
      </w:r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</w:rPr>
        <w:t xml:space="preserve"> Tamara Waldron – Aruba Ports Authority + Mario Arends – Aruba Tourism Authority</w:t>
      </w:r>
    </w:p>
    <w:p w:rsidR="00C8505B" w:rsidRPr="00D37E81" w:rsidRDefault="00C8505B" w:rsidP="0060787F">
      <w:pPr>
        <w:spacing w:after="40" w:line="216" w:lineRule="auto"/>
        <w:contextualSpacing/>
        <w:jc w:val="both"/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</w:rPr>
      </w:pPr>
    </w:p>
    <w:p w:rsidR="00C8505B" w:rsidRPr="00D37E81" w:rsidRDefault="00C8505B" w:rsidP="00C8505B">
      <w:pPr>
        <w:spacing w:after="40" w:line="216" w:lineRule="auto"/>
        <w:contextualSpacing/>
        <w:jc w:val="both"/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</w:pPr>
      <w:r w:rsidRPr="00D37E81"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  <w:lang w:val="es-CR"/>
        </w:rPr>
        <w:t>Colombia</w:t>
      </w:r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- Maria Abuabara – </w:t>
      </w:r>
      <w:proofErr w:type="spellStart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ProColombia</w:t>
      </w:r>
      <w:proofErr w:type="spellEnd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 USA + Liliana </w:t>
      </w:r>
      <w:proofErr w:type="spellStart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Rodriquez</w:t>
      </w:r>
      <w:proofErr w:type="spellEnd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 – Sociedad Portuaria Regional de Cartagena</w:t>
      </w:r>
    </w:p>
    <w:p w:rsidR="00C8505B" w:rsidRPr="00D37E81" w:rsidRDefault="00C8505B" w:rsidP="0060787F">
      <w:pPr>
        <w:spacing w:after="40" w:line="216" w:lineRule="auto"/>
        <w:contextualSpacing/>
        <w:jc w:val="both"/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  <w:lang w:val="es-CR"/>
        </w:rPr>
      </w:pPr>
    </w:p>
    <w:p w:rsidR="0060787F" w:rsidRPr="00D37E81" w:rsidRDefault="0060787F" w:rsidP="0060787F">
      <w:pPr>
        <w:spacing w:after="40" w:line="216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proofErr w:type="spellStart"/>
      <w:r w:rsidRPr="00D37E81"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</w:rPr>
        <w:t>Cura</w:t>
      </w:r>
      <w:r w:rsidR="00FF618A" w:rsidRPr="00D37E81">
        <w:rPr>
          <w:rFonts w:ascii="Tw Cen MT" w:eastAsia="+mn-ea" w:hAnsi="Tw Cen MT" w:cs="+mn-cs"/>
          <w:b/>
          <w:color w:val="000000"/>
          <w:kern w:val="24"/>
          <w:sz w:val="24"/>
          <w:szCs w:val="24"/>
        </w:rPr>
        <w:t>ç</w:t>
      </w:r>
      <w:r w:rsidRPr="00D37E81"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</w:rPr>
        <w:t>ao</w:t>
      </w:r>
      <w:proofErr w:type="spellEnd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</w:rPr>
        <w:t xml:space="preserve">- Dimitri Cloose - </w:t>
      </w:r>
      <w:proofErr w:type="spellStart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</w:rPr>
        <w:t>Curaçao</w:t>
      </w:r>
      <w:proofErr w:type="spellEnd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</w:rPr>
        <w:t xml:space="preserve"> Ports Authority + Angelo Harms - Curacao Tourism Board</w:t>
      </w:r>
    </w:p>
    <w:p w:rsidR="0060787F" w:rsidRPr="00D37E81" w:rsidRDefault="0060787F" w:rsidP="0060787F">
      <w:pPr>
        <w:spacing w:after="40" w:line="216" w:lineRule="auto"/>
        <w:contextualSpacing/>
        <w:jc w:val="both"/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</w:rPr>
      </w:pPr>
    </w:p>
    <w:p w:rsidR="0060787F" w:rsidRPr="00D37E81" w:rsidRDefault="0060787F" w:rsidP="0060787F">
      <w:pPr>
        <w:spacing w:after="40" w:line="216" w:lineRule="auto"/>
        <w:contextualSpacing/>
        <w:jc w:val="both"/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</w:rPr>
      </w:pPr>
    </w:p>
    <w:p w:rsidR="0060787F" w:rsidRPr="0060787F" w:rsidRDefault="0060787F" w:rsidP="0060787F">
      <w:pPr>
        <w:spacing w:after="40" w:line="216" w:lineRule="auto"/>
        <w:contextualSpacing/>
        <w:jc w:val="both"/>
        <w:rPr>
          <w:rFonts w:ascii="Calibri" w:eastAsia="Calibri" w:hAnsi="Calibri" w:cs="Times New Roman"/>
          <w:color w:val="000000" w:themeColor="text1"/>
          <w:lang w:val="es-CR"/>
        </w:rPr>
      </w:pPr>
      <w:proofErr w:type="spellStart"/>
      <w:r w:rsidRPr="00D37E81"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  <w:lang w:val="es-CR"/>
        </w:rPr>
        <w:t>Dominican</w:t>
      </w:r>
      <w:proofErr w:type="spellEnd"/>
      <w:r w:rsidRPr="00D37E81"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  <w:lang w:val="es-CR"/>
        </w:rPr>
        <w:t xml:space="preserve"> </w:t>
      </w:r>
      <w:proofErr w:type="spellStart"/>
      <w:r w:rsidRPr="00D37E81">
        <w:rPr>
          <w:rFonts w:ascii="Tw Cen MT" w:eastAsia="Calibri" w:hAnsi="Tw Cen MT" w:cs="Times New Roman"/>
          <w:b/>
          <w:bCs/>
          <w:color w:val="000000" w:themeColor="text1"/>
          <w:sz w:val="24"/>
          <w:szCs w:val="24"/>
          <w:lang w:val="es-CR"/>
        </w:rPr>
        <w:t>Republic</w:t>
      </w:r>
      <w:proofErr w:type="spellEnd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- Sharon Mei - Port of San</w:t>
      </w:r>
      <w:r w:rsidR="0099656E"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to Domingo</w:t>
      </w:r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 + </w:t>
      </w:r>
      <w:proofErr w:type="spellStart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Orfila</w:t>
      </w:r>
      <w:proofErr w:type="spellEnd"/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 Salazar </w:t>
      </w:r>
      <w:r w:rsidR="0099656E"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–</w:t>
      </w:r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 </w:t>
      </w:r>
      <w:r w:rsidR="0099656E"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 xml:space="preserve">Dirección de Crucero, </w:t>
      </w:r>
      <w:r w:rsidRPr="00D37E81">
        <w:rPr>
          <w:rFonts w:ascii="Tw Cen MT" w:eastAsia="Calibri" w:hAnsi="Tw Cen MT" w:cs="Times New Roman"/>
          <w:color w:val="000000" w:themeColor="text1"/>
          <w:sz w:val="24"/>
          <w:szCs w:val="24"/>
          <w:lang w:val="es-CR"/>
        </w:rPr>
        <w:t>Ministerio de Turismo Republica Dominicana</w:t>
      </w:r>
    </w:p>
    <w:p w:rsidR="0060787F" w:rsidRPr="008E2155" w:rsidRDefault="0060787F" w:rsidP="0060787F">
      <w:pPr>
        <w:spacing w:after="40" w:line="216" w:lineRule="auto"/>
        <w:contextualSpacing/>
        <w:jc w:val="both"/>
        <w:rPr>
          <w:rFonts w:ascii="Tw Cen MT" w:eastAsia="+mn-ea" w:hAnsi="Tw Cen MT" w:cs="+mn-cs"/>
          <w:b/>
          <w:color w:val="000000" w:themeColor="text1"/>
          <w:kern w:val="24"/>
          <w:sz w:val="24"/>
          <w:szCs w:val="24"/>
          <w:lang w:val="es-ES"/>
        </w:rPr>
      </w:pPr>
    </w:p>
    <w:p w:rsidR="00621064" w:rsidRPr="00C8505B" w:rsidRDefault="00621064" w:rsidP="0060787F">
      <w:pPr>
        <w:spacing w:after="40" w:line="216" w:lineRule="auto"/>
        <w:contextualSpacing/>
        <w:jc w:val="both"/>
        <w:rPr>
          <w:rFonts w:ascii="Tw Cen MT" w:eastAsia="+mn-ea" w:hAnsi="Tw Cen MT" w:cs="+mn-cs"/>
          <w:color w:val="000000"/>
          <w:kern w:val="24"/>
          <w:lang w:val="es-ES"/>
        </w:rPr>
      </w:pPr>
    </w:p>
    <w:p w:rsidR="00621064" w:rsidRPr="00C8505B" w:rsidRDefault="00621064" w:rsidP="00621064">
      <w:pPr>
        <w:spacing w:line="216" w:lineRule="auto"/>
        <w:jc w:val="both"/>
        <w:rPr>
          <w:color w:val="1CADE4"/>
          <w:lang w:val="es-ES"/>
        </w:rPr>
      </w:pPr>
    </w:p>
    <w:p w:rsidR="00D1401F" w:rsidRPr="00C8505B" w:rsidRDefault="00D1401F" w:rsidP="00D1401F">
      <w:pPr>
        <w:spacing w:after="40" w:line="216" w:lineRule="auto"/>
        <w:contextualSpacing/>
        <w:jc w:val="both"/>
        <w:rPr>
          <w:rFonts w:ascii="Times New Roman" w:eastAsia="Times New Roman" w:hAnsi="Times New Roman" w:cs="Times New Roman"/>
          <w:color w:val="1CADE4"/>
          <w:sz w:val="24"/>
          <w:szCs w:val="24"/>
          <w:lang w:val="es-ES"/>
        </w:rPr>
      </w:pPr>
    </w:p>
    <w:p w:rsidR="00D1401F" w:rsidRPr="00C8505B" w:rsidRDefault="00D1401F" w:rsidP="00EE12E9">
      <w:pPr>
        <w:spacing w:line="216" w:lineRule="auto"/>
        <w:jc w:val="both"/>
        <w:rPr>
          <w:rFonts w:ascii="Tw Cen MT" w:eastAsia="Times New Roman" w:hAnsi="Tw Cen MT" w:cs="Times New Roman"/>
          <w:color w:val="000000" w:themeColor="text1"/>
          <w:sz w:val="24"/>
          <w:szCs w:val="24"/>
          <w:lang w:val="es-ES"/>
        </w:rPr>
      </w:pPr>
    </w:p>
    <w:p w:rsidR="00EE12E9" w:rsidRPr="00C8505B" w:rsidRDefault="00EE12E9" w:rsidP="00EE12E9">
      <w:pPr>
        <w:spacing w:line="216" w:lineRule="auto"/>
        <w:jc w:val="both"/>
        <w:rPr>
          <w:rFonts w:ascii="Tw Cen MT" w:hAnsi="Tw Cen MT"/>
          <w:color w:val="000000" w:themeColor="text1"/>
          <w:sz w:val="24"/>
          <w:szCs w:val="24"/>
          <w:lang w:val="es-ES"/>
        </w:rPr>
      </w:pPr>
    </w:p>
    <w:p w:rsidR="00EE12E9" w:rsidRPr="00C8505B" w:rsidRDefault="00EE12E9">
      <w:pPr>
        <w:rPr>
          <w:lang w:val="es-ES"/>
        </w:rPr>
      </w:pPr>
    </w:p>
    <w:sectPr w:rsidR="00EE12E9" w:rsidRPr="00C850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75" w:rsidRDefault="00042975" w:rsidP="00042975">
      <w:pPr>
        <w:spacing w:after="0" w:line="240" w:lineRule="auto"/>
      </w:pPr>
      <w:r>
        <w:separator/>
      </w:r>
    </w:p>
  </w:endnote>
  <w:endnote w:type="continuationSeparator" w:id="0">
    <w:p w:rsidR="00042975" w:rsidRDefault="00042975" w:rsidP="0004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75" w:rsidRDefault="00042975" w:rsidP="00042975">
      <w:pPr>
        <w:spacing w:after="0" w:line="240" w:lineRule="auto"/>
      </w:pPr>
      <w:r>
        <w:separator/>
      </w:r>
    </w:p>
  </w:footnote>
  <w:footnote w:type="continuationSeparator" w:id="0">
    <w:p w:rsidR="00042975" w:rsidRDefault="00042975" w:rsidP="0004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75" w:rsidRDefault="00042975">
    <w:pPr>
      <w:pStyle w:val="Header"/>
    </w:pPr>
    <w:r>
      <w:rPr>
        <w:noProof/>
      </w:rPr>
      <w:drawing>
        <wp:inline distT="0" distB="0" distL="0" distR="0">
          <wp:extent cx="5956192" cy="1257300"/>
          <wp:effectExtent l="0" t="0" r="6985" b="0"/>
          <wp:docPr id="1" name="Picture 1" descr="C:\Users\TWaldron.APA\AppData\Local\Microsoft\Windows\Temporary Internet Files\Content.Word\SaborLatino_A5_tableflyer_MRT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aldron.APA\AppData\Local\Microsoft\Windows\Temporary Internet Files\Content.Word\SaborLatino_A5_tableflyer_MRT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192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F8D"/>
    <w:multiLevelType w:val="hybridMultilevel"/>
    <w:tmpl w:val="9B56D0C4"/>
    <w:lvl w:ilvl="0" w:tplc="8A3A64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87EA7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F36FA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CE465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994D26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2CFF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43A47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2F60A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A10A8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48AD4BA7"/>
    <w:multiLevelType w:val="hybridMultilevel"/>
    <w:tmpl w:val="15E099B2"/>
    <w:lvl w:ilvl="0" w:tplc="D3AE6E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1D062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DAC2D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45C74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B6C19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04092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63AA3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35E22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3AC63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6340585C"/>
    <w:multiLevelType w:val="hybridMultilevel"/>
    <w:tmpl w:val="F1D2CC98"/>
    <w:lvl w:ilvl="0" w:tplc="5A90D6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C2E10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0F807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1C8E6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82ADC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A225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AB001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4C6D5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46E66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70802447"/>
    <w:multiLevelType w:val="hybridMultilevel"/>
    <w:tmpl w:val="EC8E8CB4"/>
    <w:lvl w:ilvl="0" w:tplc="446682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AEE31D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27825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F760A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DC41E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448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E7AD7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D522C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B8C51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E9"/>
    <w:rsid w:val="00042975"/>
    <w:rsid w:val="00210A08"/>
    <w:rsid w:val="003221D2"/>
    <w:rsid w:val="003226CF"/>
    <w:rsid w:val="00575339"/>
    <w:rsid w:val="0060787F"/>
    <w:rsid w:val="00621064"/>
    <w:rsid w:val="008E2155"/>
    <w:rsid w:val="0092155B"/>
    <w:rsid w:val="009234E6"/>
    <w:rsid w:val="0099656E"/>
    <w:rsid w:val="00A25F91"/>
    <w:rsid w:val="00A31280"/>
    <w:rsid w:val="00A4774C"/>
    <w:rsid w:val="00B85FB5"/>
    <w:rsid w:val="00C8505B"/>
    <w:rsid w:val="00D1401F"/>
    <w:rsid w:val="00D37E81"/>
    <w:rsid w:val="00EE12E9"/>
    <w:rsid w:val="00FD5E97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5F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75"/>
  </w:style>
  <w:style w:type="paragraph" w:styleId="Footer">
    <w:name w:val="footer"/>
    <w:basedOn w:val="Normal"/>
    <w:link w:val="FooterChar"/>
    <w:uiPriority w:val="99"/>
    <w:unhideWhenUsed/>
    <w:rsid w:val="00042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5F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75"/>
  </w:style>
  <w:style w:type="paragraph" w:styleId="Footer">
    <w:name w:val="footer"/>
    <w:basedOn w:val="Normal"/>
    <w:link w:val="FooterChar"/>
    <w:uiPriority w:val="99"/>
    <w:unhideWhenUsed/>
    <w:rsid w:val="00042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0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07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Waldron</dc:creator>
  <cp:lastModifiedBy>Tamara Waldron</cp:lastModifiedBy>
  <cp:revision>2</cp:revision>
  <dcterms:created xsi:type="dcterms:W3CDTF">2015-03-30T13:40:00Z</dcterms:created>
  <dcterms:modified xsi:type="dcterms:W3CDTF">2015-03-30T13:40:00Z</dcterms:modified>
</cp:coreProperties>
</file>